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C0119" w14:textId="4B96F952" w:rsidR="006D7703" w:rsidRDefault="00B65534" w:rsidP="00FF040C">
      <w:pPr>
        <w:pStyle w:val="A-AnswerKey-EssayAnswers-indent"/>
        <w:ind w:left="0" w:firstLine="0"/>
      </w:pPr>
      <w:r>
        <w:t>Name ______________________________________</w:t>
      </w:r>
    </w:p>
    <w:p w14:paraId="06A2C8D1" w14:textId="77777777" w:rsidR="006D7703" w:rsidRDefault="006D7703" w:rsidP="00FF040C">
      <w:pPr>
        <w:pStyle w:val="A-AnswerKey-EssayAnswers-indent"/>
        <w:ind w:left="0" w:firstLine="0"/>
      </w:pPr>
    </w:p>
    <w:p w14:paraId="7BCCEEDA" w14:textId="418A614A" w:rsidR="00C51770" w:rsidRPr="002324BB" w:rsidRDefault="00C51770" w:rsidP="00CD25F1">
      <w:pPr>
        <w:pStyle w:val="A-BH-spaceafter"/>
        <w:spacing w:after="160"/>
      </w:pPr>
      <w:r w:rsidRPr="002324BB">
        <w:t>Unit</w:t>
      </w:r>
      <w:r>
        <w:t xml:space="preserve"> 3</w:t>
      </w:r>
      <w:r w:rsidRPr="002324BB">
        <w:t xml:space="preserve"> Vocabulary </w:t>
      </w:r>
    </w:p>
    <w:p w14:paraId="7FF42A9C" w14:textId="74C33DC1" w:rsidR="00C51770" w:rsidRPr="002324BB" w:rsidRDefault="00C51770" w:rsidP="0062182A">
      <w:pPr>
        <w:pStyle w:val="A-CH-nospaceabove"/>
        <w:spacing w:after="120"/>
      </w:pPr>
      <w:r w:rsidRPr="002324BB">
        <w:t>Terms for Mastery</w:t>
      </w:r>
    </w:p>
    <w:p w14:paraId="084B5F69" w14:textId="77777777" w:rsidR="0062182A" w:rsidRDefault="0062182A" w:rsidP="0062182A">
      <w:pPr>
        <w:pStyle w:val="A-Paragraph-spaceafter"/>
        <w:rPr>
          <w:rFonts w:cs="Arial"/>
          <w:b/>
          <w:i/>
          <w:iCs/>
        </w:rPr>
        <w:sectPr w:rsidR="0062182A" w:rsidSect="0062182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900" w:bottom="1620" w:left="1080" w:header="900" w:footer="720" w:gutter="0"/>
          <w:cols w:space="720"/>
          <w:titlePg/>
          <w:docGrid w:linePitch="360"/>
        </w:sectPr>
      </w:pPr>
    </w:p>
    <w:p w14:paraId="5513A7F8" w14:textId="3ED83A8F" w:rsidR="00C51770" w:rsidRPr="002324BB" w:rsidRDefault="00C51770" w:rsidP="00D37E26">
      <w:pPr>
        <w:pStyle w:val="A-Paragraph-spaceafter"/>
        <w:spacing w:after="160"/>
        <w:rPr>
          <w:rFonts w:cs="Arial"/>
        </w:rPr>
      </w:pPr>
      <w:r w:rsidRPr="00FB452D">
        <w:rPr>
          <w:rFonts w:cs="Arial"/>
          <w:b/>
          <w:i/>
          <w:iCs/>
        </w:rPr>
        <w:t>anamnesis</w:t>
      </w:r>
      <w:r w:rsidRPr="002324BB">
        <w:rPr>
          <w:rFonts w:cs="Arial"/>
        </w:rPr>
        <w:t xml:space="preserve"> </w:t>
      </w:r>
      <w:r>
        <w:rPr>
          <w:rFonts w:cs="Arial"/>
        </w:rPr>
        <w:t xml:space="preserve"> </w:t>
      </w:r>
      <w:r w:rsidRPr="00126EBC">
        <w:t xml:space="preserve">The Greek word for </w:t>
      </w:r>
      <w:r w:rsidRPr="001372BC">
        <w:rPr>
          <w:i/>
          <w:iCs/>
        </w:rPr>
        <w:t>memory.</w:t>
      </w:r>
      <w:r w:rsidRPr="00126EBC">
        <w:t xml:space="preserve"> In the Eucharist, this refers to the making present of the Paschal Mystery, Christ’s work of salvation. The </w:t>
      </w:r>
      <w:r w:rsidRPr="00126EBC">
        <w:rPr>
          <w:i/>
          <w:iCs/>
        </w:rPr>
        <w:t xml:space="preserve">anamnesis </w:t>
      </w:r>
      <w:r w:rsidRPr="00126EBC">
        <w:t>refers also to a particular section of the Eucharistic Prayer after the words of institution in which the Church remembers Christ’s saving deeds—his Passion, death, Resurrection, and glorious return.</w:t>
      </w:r>
    </w:p>
    <w:p w14:paraId="6E1FB453" w14:textId="77777777" w:rsidR="00C51770" w:rsidRPr="002324BB" w:rsidRDefault="00C51770" w:rsidP="00D37E26">
      <w:pPr>
        <w:pStyle w:val="A-Paragraph-spaceafter"/>
        <w:spacing w:after="160"/>
        <w:rPr>
          <w:rFonts w:cs="Arial"/>
        </w:rPr>
      </w:pPr>
      <w:r>
        <w:rPr>
          <w:rFonts w:cs="Arial"/>
          <w:b/>
        </w:rPr>
        <w:t>chalice</w:t>
      </w:r>
      <w:r w:rsidRPr="002324BB">
        <w:rPr>
          <w:rFonts w:cs="Arial"/>
          <w:b/>
        </w:rPr>
        <w:t xml:space="preserve">  </w:t>
      </w:r>
      <w:r w:rsidRPr="00FB452D">
        <w:t>This is the vessel into which the wine will be poured.</w:t>
      </w:r>
    </w:p>
    <w:p w14:paraId="5155CF2F" w14:textId="77777777" w:rsidR="00C51770" w:rsidRPr="002324BB" w:rsidRDefault="00C51770" w:rsidP="00D37E26">
      <w:pPr>
        <w:pStyle w:val="A-Paragraph-spaceafter"/>
        <w:spacing w:after="160"/>
        <w:rPr>
          <w:rFonts w:cs="Arial"/>
          <w:b/>
        </w:rPr>
      </w:pPr>
      <w:r>
        <w:rPr>
          <w:rFonts w:cs="Arial"/>
          <w:b/>
        </w:rPr>
        <w:t>Concluding Rites</w:t>
      </w:r>
      <w:r w:rsidRPr="002324BB">
        <w:rPr>
          <w:rFonts w:cs="Arial"/>
        </w:rPr>
        <w:t xml:space="preserve">  </w:t>
      </w:r>
      <w:r>
        <w:rPr>
          <w:rFonts w:cs="Arial"/>
        </w:rPr>
        <w:t>The Concluding Rites follow the Liturgy of the Eucharist and include: the greeting, the Final Blessing (or Prayer over the People), and the Dismissal.</w:t>
      </w:r>
    </w:p>
    <w:p w14:paraId="63FA21CD" w14:textId="77777777" w:rsidR="00C51770" w:rsidRPr="002324BB" w:rsidRDefault="00C51770" w:rsidP="00D37E26">
      <w:pPr>
        <w:pStyle w:val="A-Paragraph-spaceafter"/>
        <w:spacing w:after="160"/>
        <w:rPr>
          <w:rFonts w:cs="Arial"/>
        </w:rPr>
      </w:pPr>
      <w:r>
        <w:rPr>
          <w:rFonts w:cs="Arial"/>
          <w:b/>
        </w:rPr>
        <w:t>corporal</w:t>
      </w:r>
      <w:r w:rsidRPr="002324BB">
        <w:rPr>
          <w:rFonts w:cs="Arial"/>
          <w:b/>
        </w:rPr>
        <w:t xml:space="preserve">  </w:t>
      </w:r>
      <w:r w:rsidRPr="00FB452D">
        <w:t xml:space="preserve">This is a square white linen cloth upon which all the sacred vessels are placed during the celebration of the Mass. The word </w:t>
      </w:r>
      <w:r w:rsidRPr="00FB452D">
        <w:rPr>
          <w:rFonts w:cs="MinionPro-It"/>
          <w:i/>
          <w:iCs/>
          <w:spacing w:val="2"/>
        </w:rPr>
        <w:t>corporal</w:t>
      </w:r>
      <w:r w:rsidRPr="00FB452D">
        <w:t xml:space="preserve"> comes from the Latin word for “body,” which is related to Body of Christ </w:t>
      </w:r>
      <w:r w:rsidRPr="002E2C61">
        <w:rPr>
          <w:i/>
          <w:iCs/>
        </w:rPr>
        <w:t>(</w:t>
      </w:r>
      <w:r w:rsidRPr="00FB452D">
        <w:rPr>
          <w:rFonts w:cs="MinionPro-It"/>
          <w:i/>
          <w:iCs/>
          <w:spacing w:val="2"/>
        </w:rPr>
        <w:t>Corpus</w:t>
      </w:r>
      <w:r w:rsidRPr="00FB452D">
        <w:t xml:space="preserve"> </w:t>
      </w:r>
      <w:r w:rsidRPr="001372BC">
        <w:rPr>
          <w:rFonts w:cs="MinionPro-It"/>
          <w:i/>
          <w:iCs/>
          <w:spacing w:val="2"/>
        </w:rPr>
        <w:t>Christi</w:t>
      </w:r>
      <w:r w:rsidRPr="002E2C61">
        <w:rPr>
          <w:i/>
          <w:iCs/>
        </w:rPr>
        <w:t>).</w:t>
      </w:r>
    </w:p>
    <w:p w14:paraId="0DEFAC9D" w14:textId="54A9C486" w:rsidR="00C51770" w:rsidRPr="00440771" w:rsidRDefault="00C51770" w:rsidP="00D37E26">
      <w:pPr>
        <w:pStyle w:val="A-Paragraph-spaceafter"/>
        <w:spacing w:after="160"/>
      </w:pPr>
      <w:proofErr w:type="gramStart"/>
      <w:r w:rsidRPr="00FB452D">
        <w:rPr>
          <w:b/>
          <w:i/>
          <w:iCs/>
        </w:rPr>
        <w:t>epiclesis</w:t>
      </w:r>
      <w:r w:rsidR="005E7A69" w:rsidRPr="002324BB">
        <w:rPr>
          <w:rFonts w:cs="Arial"/>
          <w:b/>
        </w:rPr>
        <w:t xml:space="preserve">  </w:t>
      </w:r>
      <w:r>
        <w:t>A</w:t>
      </w:r>
      <w:proofErr w:type="gramEnd"/>
      <w:r>
        <w:t xml:space="preserve"> prayer (meaning “invocation” in Greek) in which the priest asks the Father to send the Holy Spirit upon the offerings.</w:t>
      </w:r>
    </w:p>
    <w:p w14:paraId="3EBDAF2B" w14:textId="4FE4960A" w:rsidR="00C51770" w:rsidRDefault="00C51770" w:rsidP="00D37E26">
      <w:pPr>
        <w:pStyle w:val="A-Paragraph-spaceafter"/>
        <w:spacing w:after="160"/>
      </w:pPr>
      <w:r>
        <w:rPr>
          <w:b/>
        </w:rPr>
        <w:t>Eucharistic adoration</w:t>
      </w:r>
      <w:r w:rsidRPr="002324BB">
        <w:t xml:space="preserve"> </w:t>
      </w:r>
      <w:r>
        <w:t xml:space="preserve"> </w:t>
      </w:r>
      <w:r>
        <w:rPr>
          <w:rFonts w:cs="Segoe UI Symbol"/>
          <w:color w:val="000000" w:themeColor="text1"/>
          <w:spacing w:val="-1"/>
          <w:position w:val="-1"/>
        </w:rPr>
        <w:t xml:space="preserve">The practice of praying in </w:t>
      </w:r>
      <w:r w:rsidR="003001D3">
        <w:rPr>
          <w:rFonts w:cs="Segoe UI Symbol"/>
          <w:color w:val="000000" w:themeColor="text1"/>
          <w:spacing w:val="-1"/>
          <w:position w:val="-1"/>
        </w:rPr>
        <w:br/>
      </w:r>
      <w:r>
        <w:rPr>
          <w:rFonts w:cs="Segoe UI Symbol"/>
          <w:color w:val="000000" w:themeColor="text1"/>
          <w:spacing w:val="-1"/>
          <w:position w:val="-1"/>
        </w:rPr>
        <w:t xml:space="preserve">front of the Blessed Sacrament, which is exposed in </w:t>
      </w:r>
      <w:r w:rsidR="003001D3">
        <w:rPr>
          <w:rFonts w:cs="Segoe UI Symbol"/>
          <w:color w:val="000000" w:themeColor="text1"/>
          <w:spacing w:val="-1"/>
          <w:position w:val="-1"/>
        </w:rPr>
        <w:br/>
      </w:r>
      <w:r>
        <w:rPr>
          <w:rFonts w:cs="Segoe UI Symbol"/>
          <w:color w:val="000000" w:themeColor="text1"/>
          <w:spacing w:val="-1"/>
          <w:position w:val="-1"/>
        </w:rPr>
        <w:t xml:space="preserve">a monstrance or ciborium on an altar or in a church </w:t>
      </w:r>
      <w:r w:rsidR="003001D3">
        <w:rPr>
          <w:rFonts w:cs="Segoe UI Symbol"/>
          <w:color w:val="000000" w:themeColor="text1"/>
          <w:spacing w:val="-1"/>
          <w:position w:val="-1"/>
        </w:rPr>
        <w:br/>
      </w:r>
      <w:r>
        <w:rPr>
          <w:rFonts w:cs="Segoe UI Symbol"/>
          <w:color w:val="000000" w:themeColor="text1"/>
          <w:spacing w:val="-1"/>
          <w:position w:val="-1"/>
        </w:rPr>
        <w:t>or chapel.</w:t>
      </w:r>
    </w:p>
    <w:p w14:paraId="0DF5DDF0" w14:textId="77777777" w:rsidR="00C51770" w:rsidRPr="00126EBC" w:rsidRDefault="00C51770" w:rsidP="00D37E26">
      <w:pPr>
        <w:pStyle w:val="A-Paragraph-spaceafter"/>
        <w:spacing w:after="160"/>
      </w:pPr>
      <w:r w:rsidRPr="00FB452D">
        <w:rPr>
          <w:b/>
          <w:i/>
          <w:iCs/>
        </w:rPr>
        <w:t>Logos</w:t>
      </w:r>
      <w:r>
        <w:rPr>
          <w:b/>
          <w:i/>
          <w:iCs/>
        </w:rPr>
        <w:t xml:space="preserve">  </w:t>
      </w:r>
      <w:r w:rsidRPr="00126EBC">
        <w:t>Greek word meaning “Word.”</w:t>
      </w:r>
      <w:r w:rsidRPr="00126EBC">
        <w:rPr>
          <w:rStyle w:val="57CondOblique"/>
          <w:rFonts w:ascii="Book Antiqua" w:hAnsi="Book Antiqua"/>
          <w:sz w:val="24"/>
        </w:rPr>
        <w:t xml:space="preserve"> </w:t>
      </w:r>
      <w:r w:rsidRPr="005E7A69">
        <w:rPr>
          <w:rStyle w:val="57CondOblique"/>
          <w:rFonts w:cs="Arial"/>
          <w:szCs w:val="20"/>
        </w:rPr>
        <w:t>Logos</w:t>
      </w:r>
      <w:r w:rsidRPr="005E7A69">
        <w:rPr>
          <w:rFonts w:cs="Arial"/>
          <w:szCs w:val="20"/>
        </w:rPr>
        <w:t xml:space="preserve"> is</w:t>
      </w:r>
      <w:r w:rsidRPr="00126EBC">
        <w:t xml:space="preserve"> a title of Jesus Christ found in the Gospel of John that illuminates the relationship between the three Divine Persons of the Holy Trinity (see</w:t>
      </w:r>
      <w:r w:rsidRPr="0062182A">
        <w:t xml:space="preserve"> John 1:1,14</w:t>
      </w:r>
      <w:r w:rsidRPr="00126EBC">
        <w:t>).</w:t>
      </w:r>
    </w:p>
    <w:p w14:paraId="2C500772" w14:textId="39384A6E" w:rsidR="00C51770" w:rsidRDefault="00C51770" w:rsidP="00D37E26">
      <w:pPr>
        <w:pStyle w:val="A-Paragraph-spaceafter"/>
        <w:spacing w:after="160"/>
        <w:rPr>
          <w:rFonts w:cs="Arial"/>
          <w:b/>
          <w:bCs/>
        </w:rPr>
      </w:pPr>
      <w:r>
        <w:rPr>
          <w:rFonts w:cs="Arial"/>
          <w:b/>
          <w:bCs/>
        </w:rPr>
        <w:t xml:space="preserve">purificator  </w:t>
      </w:r>
      <w:r w:rsidRPr="00FB452D">
        <w:t xml:space="preserve">This is a small piece of white linen, folded </w:t>
      </w:r>
      <w:r w:rsidR="003001D3">
        <w:br/>
      </w:r>
      <w:r w:rsidRPr="00FB452D">
        <w:t xml:space="preserve">in three layers, much like a napkin, marked with a </w:t>
      </w:r>
      <w:r w:rsidR="003001D3">
        <w:br/>
      </w:r>
      <w:r w:rsidRPr="00FB452D">
        <w:t xml:space="preserve">cross in the center. The priest uses it to purify (clean) </w:t>
      </w:r>
      <w:r w:rsidR="003001D3">
        <w:br/>
      </w:r>
      <w:r w:rsidRPr="00FB452D">
        <w:t>his fingers, the chalice, and the paten (the round dish used to hold the Host).</w:t>
      </w:r>
    </w:p>
    <w:p w14:paraId="153A704A" w14:textId="52BF1C2F" w:rsidR="00C51770" w:rsidRPr="00AB0C84" w:rsidRDefault="00C51770" w:rsidP="00D37E26">
      <w:pPr>
        <w:pStyle w:val="A-Paragraph-spaceafter"/>
        <w:spacing w:after="160"/>
        <w:rPr>
          <w:rFonts w:cs="Arial"/>
        </w:rPr>
      </w:pPr>
      <w:r w:rsidRPr="00FB452D">
        <w:rPr>
          <w:rFonts w:cs="Arial"/>
          <w:b/>
          <w:bCs/>
          <w:i/>
          <w:iCs/>
        </w:rPr>
        <w:t>Roman Missal</w:t>
      </w:r>
      <w:r>
        <w:rPr>
          <w:rFonts w:cs="Arial"/>
          <w:b/>
          <w:bCs/>
          <w:i/>
          <w:iCs/>
        </w:rPr>
        <w:t xml:space="preserve">  </w:t>
      </w:r>
      <w:r>
        <w:rPr>
          <w:rFonts w:cs="Arial"/>
        </w:rPr>
        <w:t xml:space="preserve">The term from the Latin </w:t>
      </w:r>
      <w:r w:rsidR="008F2F4E">
        <w:rPr>
          <w:rFonts w:cs="Arial"/>
          <w:i/>
          <w:iCs/>
        </w:rPr>
        <w:t>missio,</w:t>
      </w:r>
      <w:r>
        <w:rPr>
          <w:rFonts w:cs="Arial"/>
          <w:i/>
          <w:iCs/>
        </w:rPr>
        <w:t xml:space="preserve"> </w:t>
      </w:r>
      <w:r w:rsidR="003001D3">
        <w:rPr>
          <w:rFonts w:cs="Arial"/>
          <w:i/>
          <w:iCs/>
        </w:rPr>
        <w:br/>
      </w:r>
      <w:r>
        <w:rPr>
          <w:rFonts w:cs="Arial"/>
        </w:rPr>
        <w:t xml:space="preserve">meaning “mission” or “sending forth,” designates the book containing the prayers that are said by the priest </w:t>
      </w:r>
      <w:r w:rsidR="003001D3">
        <w:rPr>
          <w:rFonts w:cs="Arial"/>
        </w:rPr>
        <w:br/>
      </w:r>
      <w:r>
        <w:rPr>
          <w:rFonts w:cs="Arial"/>
        </w:rPr>
        <w:t xml:space="preserve">at the altar for the celebration of Mass. </w:t>
      </w:r>
    </w:p>
    <w:p w14:paraId="7DF2927B" w14:textId="77777777" w:rsidR="00C51770" w:rsidRPr="00FB452D" w:rsidRDefault="00C51770" w:rsidP="0062182A">
      <w:pPr>
        <w:pStyle w:val="A-Paragraph-spaceafter"/>
        <w:rPr>
          <w:rFonts w:cs="Arial"/>
          <w:b/>
          <w:bCs/>
        </w:rPr>
      </w:pPr>
      <w:r>
        <w:rPr>
          <w:rFonts w:cs="Arial"/>
          <w:b/>
          <w:bCs/>
        </w:rPr>
        <w:t xml:space="preserve">Transubstantiation  </w:t>
      </w:r>
      <w:r w:rsidRPr="00FB452D">
        <w:rPr>
          <w:rFonts w:cs="HelveticaNeueLTStd-Cn"/>
        </w:rPr>
        <w:t>In the Sacrament of the Eucharist, this is the name given to the action of changing the bread and wine into the Body and Blood of Jesus Christ.</w:t>
      </w:r>
    </w:p>
    <w:p w14:paraId="389F3447" w14:textId="77777777" w:rsidR="0062182A" w:rsidRDefault="0062182A" w:rsidP="0062182A">
      <w:pPr>
        <w:pStyle w:val="A-CH"/>
        <w:sectPr w:rsidR="0062182A" w:rsidSect="0062182A">
          <w:type w:val="continuous"/>
          <w:pgSz w:w="12240" w:h="15840" w:code="1"/>
          <w:pgMar w:top="1814" w:right="720" w:bottom="1620" w:left="1080" w:header="900" w:footer="720" w:gutter="0"/>
          <w:cols w:num="2" w:space="360"/>
          <w:titlePg/>
          <w:docGrid w:linePitch="360"/>
        </w:sectPr>
      </w:pPr>
    </w:p>
    <w:p w14:paraId="08C1BBE8" w14:textId="4E98025B" w:rsidR="00C51770" w:rsidRPr="002324BB" w:rsidRDefault="00C51770" w:rsidP="00CD25F1">
      <w:pPr>
        <w:pStyle w:val="A-CH"/>
        <w:spacing w:before="280" w:after="120"/>
      </w:pPr>
      <w:r w:rsidRPr="002324BB">
        <w:t>Terms Previously Mastered or for General Knowledge</w:t>
      </w:r>
    </w:p>
    <w:p w14:paraId="3657FB4A" w14:textId="77777777" w:rsidR="0062182A" w:rsidRDefault="0062182A" w:rsidP="0062182A">
      <w:pPr>
        <w:pStyle w:val="A-Paragraph-spaceafter"/>
        <w:rPr>
          <w:rFonts w:cs="Arial"/>
          <w:b/>
        </w:rPr>
        <w:sectPr w:rsidR="0062182A" w:rsidSect="0062182A">
          <w:type w:val="continuous"/>
          <w:pgSz w:w="12240" w:h="15840" w:code="1"/>
          <w:pgMar w:top="1814" w:right="900" w:bottom="1620" w:left="1080" w:header="900" w:footer="720" w:gutter="0"/>
          <w:cols w:space="720"/>
          <w:titlePg/>
          <w:docGrid w:linePitch="360"/>
        </w:sectPr>
      </w:pPr>
    </w:p>
    <w:p w14:paraId="0B5260B1" w14:textId="0FE53B19" w:rsidR="00C51770" w:rsidRPr="002324BB" w:rsidRDefault="00C51770" w:rsidP="00D37E26">
      <w:pPr>
        <w:pStyle w:val="A-Paragraph-spaceafter"/>
        <w:spacing w:after="160"/>
        <w:rPr>
          <w:rFonts w:cs="Arial"/>
          <w:b/>
        </w:rPr>
      </w:pPr>
      <w:proofErr w:type="gramStart"/>
      <w:r>
        <w:rPr>
          <w:rFonts w:cs="Arial"/>
          <w:b/>
        </w:rPr>
        <w:t>assembly</w:t>
      </w:r>
      <w:r w:rsidRPr="002324BB">
        <w:rPr>
          <w:rFonts w:cs="Arial"/>
          <w:b/>
        </w:rPr>
        <w:t xml:space="preserve">  </w:t>
      </w:r>
      <w:r w:rsidRPr="00231F1D">
        <w:t>Also</w:t>
      </w:r>
      <w:proofErr w:type="gramEnd"/>
      <w:r w:rsidRPr="00231F1D">
        <w:t xml:space="preserve"> known as a congregation, a community of believers gathered for worship as </w:t>
      </w:r>
      <w:r w:rsidR="005E7A69">
        <w:br/>
      </w:r>
      <w:r w:rsidRPr="00231F1D">
        <w:t>the Body of Christ.</w:t>
      </w:r>
    </w:p>
    <w:p w14:paraId="72541C9F" w14:textId="77777777" w:rsidR="00C51770" w:rsidRPr="002324BB" w:rsidRDefault="00C51770" w:rsidP="00D37E26">
      <w:pPr>
        <w:pStyle w:val="A-Paragraph-spaceafter"/>
        <w:spacing w:after="160"/>
        <w:rPr>
          <w:rFonts w:cs="Arial"/>
          <w:b/>
        </w:rPr>
      </w:pPr>
      <w:r>
        <w:rPr>
          <w:rFonts w:cs="Arial"/>
          <w:b/>
        </w:rPr>
        <w:t>Church</w:t>
      </w:r>
      <w:r w:rsidRPr="002324BB">
        <w:rPr>
          <w:rFonts w:cs="Arial"/>
        </w:rPr>
        <w:t xml:space="preserve">  </w:t>
      </w:r>
      <w:r w:rsidRPr="00231F1D">
        <w:t xml:space="preserve">The term </w:t>
      </w:r>
      <w:r w:rsidRPr="00231F1D">
        <w:rPr>
          <w:i/>
          <w:iCs/>
        </w:rPr>
        <w:t xml:space="preserve">Church </w:t>
      </w:r>
      <w:r w:rsidRPr="00231F1D">
        <w:t xml:space="preserve">has three inseparable meanings: (1) the entire People of God throughout the world; (2) the diocese, which is also known as the local Church; </w:t>
      </w:r>
      <w:r>
        <w:t xml:space="preserve">and </w:t>
      </w:r>
      <w:r w:rsidRPr="00231F1D">
        <w:t>(3) the assembly of believers gathered for the celebration of the liturgy, especially the Eucharist.</w:t>
      </w:r>
    </w:p>
    <w:p w14:paraId="1FDAF40D" w14:textId="39A5FF1A" w:rsidR="00C51770" w:rsidRPr="002324BB" w:rsidRDefault="00C51770" w:rsidP="00D37E26">
      <w:pPr>
        <w:pStyle w:val="A-Paragraph-spaceafter"/>
        <w:spacing w:after="160"/>
        <w:rPr>
          <w:rFonts w:cs="Arial"/>
          <w:b/>
        </w:rPr>
      </w:pPr>
      <w:r>
        <w:rPr>
          <w:rFonts w:cs="Arial"/>
          <w:b/>
        </w:rPr>
        <w:t>Eucharist, the</w:t>
      </w:r>
      <w:r w:rsidRPr="002324BB">
        <w:rPr>
          <w:rFonts w:cs="Arial"/>
          <w:b/>
        </w:rPr>
        <w:t xml:space="preserve"> </w:t>
      </w:r>
      <w:r w:rsidRPr="00126EBC">
        <w:t xml:space="preserve"> </w:t>
      </w:r>
      <w:r>
        <w:t xml:space="preserve">The </w:t>
      </w:r>
      <w:r w:rsidRPr="00126EBC">
        <w:t xml:space="preserve">celebration of the entire Mass. </w:t>
      </w:r>
      <w:r w:rsidR="003001D3">
        <w:br/>
      </w:r>
      <w:r w:rsidRPr="00126EBC">
        <w:t>The term can also refer specifically to the consecrated bread and wine that have become the Body and Blood of Christ.</w:t>
      </w:r>
    </w:p>
    <w:p w14:paraId="2DD16CF7" w14:textId="77777777" w:rsidR="00C51770" w:rsidRPr="002324BB" w:rsidRDefault="00C51770" w:rsidP="00D37E26">
      <w:pPr>
        <w:pStyle w:val="A-Paragraph-spaceafter"/>
        <w:spacing w:after="160"/>
        <w:rPr>
          <w:rFonts w:cs="Arial"/>
        </w:rPr>
      </w:pPr>
      <w:r>
        <w:rPr>
          <w:rFonts w:cs="Arial"/>
          <w:b/>
        </w:rPr>
        <w:t>monstrance</w:t>
      </w:r>
      <w:r w:rsidRPr="002324BB">
        <w:rPr>
          <w:rFonts w:cs="Arial"/>
        </w:rPr>
        <w:t xml:space="preserve">  </w:t>
      </w:r>
      <w:r>
        <w:rPr>
          <w:rFonts w:cs="Segoe UI Symbol"/>
          <w:color w:val="000000" w:themeColor="text1"/>
          <w:spacing w:val="-1"/>
          <w:position w:val="-1"/>
        </w:rPr>
        <w:t>A sacred vessel, usually in the form of a cross, used for the exposition of the Blessed Sacrament for adoration and benediction.</w:t>
      </w:r>
    </w:p>
    <w:p w14:paraId="564E1C31" w14:textId="18F89C19" w:rsidR="00C51770" w:rsidRPr="00126EBC" w:rsidRDefault="00C51770" w:rsidP="00D37E26">
      <w:pPr>
        <w:pStyle w:val="A-Paragraph-spaceafter"/>
        <w:spacing w:after="160"/>
        <w:rPr>
          <w:rFonts w:cs="Arial"/>
        </w:rPr>
      </w:pPr>
      <w:proofErr w:type="gramStart"/>
      <w:r w:rsidRPr="00126EBC">
        <w:rPr>
          <w:rFonts w:cs="Arial"/>
          <w:b/>
          <w:bCs/>
        </w:rPr>
        <w:t>Passion</w:t>
      </w:r>
      <w:r>
        <w:rPr>
          <w:rFonts w:cs="Arial"/>
          <w:b/>
          <w:bCs/>
        </w:rPr>
        <w:t xml:space="preserve">  </w:t>
      </w:r>
      <w:r w:rsidRPr="00126EBC">
        <w:t>The</w:t>
      </w:r>
      <w:proofErr w:type="gramEnd"/>
      <w:r w:rsidRPr="00126EBC">
        <w:t xml:space="preserve"> suffering of Jesus during his final days </w:t>
      </w:r>
      <w:r w:rsidR="005E7A69">
        <w:br/>
      </w:r>
      <w:bookmarkStart w:id="2" w:name="_GoBack"/>
      <w:bookmarkEnd w:id="2"/>
      <w:r w:rsidRPr="00126EBC">
        <w:t>in this life: his agony in the garden at Gethsemane, his trial, and his Crucifixion.</w:t>
      </w:r>
    </w:p>
    <w:p w14:paraId="6129388E" w14:textId="021A5047" w:rsidR="0062182A" w:rsidRPr="0062182A" w:rsidRDefault="00C51770" w:rsidP="0062182A">
      <w:pPr>
        <w:pStyle w:val="A-Paragraph-spaceafter"/>
        <w:spacing w:after="0"/>
        <w:rPr>
          <w:rFonts w:cs="Arial"/>
          <w:b/>
          <w:bCs/>
        </w:rPr>
        <w:sectPr w:rsidR="0062182A" w:rsidRPr="0062182A" w:rsidSect="0062182A">
          <w:type w:val="continuous"/>
          <w:pgSz w:w="12240" w:h="15840" w:code="1"/>
          <w:pgMar w:top="1814" w:right="900" w:bottom="1620" w:left="1080" w:header="900" w:footer="720" w:gutter="0"/>
          <w:cols w:num="2" w:space="432"/>
          <w:titlePg/>
          <w:docGrid w:linePitch="360"/>
        </w:sectPr>
      </w:pPr>
      <w:r w:rsidRPr="00126EBC">
        <w:rPr>
          <w:rFonts w:cs="Arial"/>
          <w:b/>
          <w:bCs/>
        </w:rPr>
        <w:t>Passover</w:t>
      </w:r>
      <w:r>
        <w:rPr>
          <w:rFonts w:cs="Arial"/>
          <w:b/>
          <w:bCs/>
        </w:rPr>
        <w:t xml:space="preserve">  </w:t>
      </w:r>
      <w:r w:rsidRPr="00126EBC">
        <w:rPr>
          <w:rFonts w:cs="HelveticaNeueLTStd-Cn"/>
          <w:color w:val="000000" w:themeColor="text1"/>
        </w:rPr>
        <w:t>The night the Lord passed over the houses of the Israelites marked by the blood of the lamb, and spared the firstborn sons from death. It also is the feast that celebrates the deliverance of the Chosen People from bondage in Egypt and the Exodus from Egypt to the Promised Land</w:t>
      </w:r>
      <w:r w:rsidR="0062182A">
        <w:rPr>
          <w:rFonts w:cs="HelveticaNeueLTStd-Cn"/>
          <w:color w:val="000000" w:themeColor="text1"/>
        </w:rPr>
        <w:t>.</w:t>
      </w:r>
    </w:p>
    <w:p w14:paraId="711D8E88" w14:textId="77777777" w:rsidR="004746DB" w:rsidRPr="004746DB" w:rsidRDefault="004746DB" w:rsidP="00D37E26">
      <w:pPr>
        <w:tabs>
          <w:tab w:val="left" w:pos="2400"/>
        </w:tabs>
      </w:pPr>
    </w:p>
    <w:sectPr w:rsidR="004746DB" w:rsidRPr="004746DB" w:rsidSect="0062182A">
      <w:type w:val="continuous"/>
      <w:pgSz w:w="12240" w:h="15840" w:code="1"/>
      <w:pgMar w:top="1814" w:right="900" w:bottom="1620" w:left="108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A5696" w14:textId="77777777" w:rsidR="00822036" w:rsidRDefault="00822036" w:rsidP="004D0079">
      <w:r>
        <w:separator/>
      </w:r>
    </w:p>
    <w:p w14:paraId="77187CD3" w14:textId="77777777" w:rsidR="00822036" w:rsidRDefault="00822036"/>
  </w:endnote>
  <w:endnote w:type="continuationSeparator" w:id="0">
    <w:p w14:paraId="31A27C11" w14:textId="77777777" w:rsidR="00822036" w:rsidRDefault="00822036" w:rsidP="004D0079">
      <w:r>
        <w:continuationSeparator/>
      </w:r>
    </w:p>
    <w:p w14:paraId="417E74F0" w14:textId="77777777" w:rsidR="00822036" w:rsidRDefault="00822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ヒラギノ角ゴ Pro W3">
    <w:altName w:val="Yu Gothic UI"/>
    <w:panose1 w:val="020B0300000000000000"/>
    <w:charset w:val="80"/>
    <w:family w:val="swiss"/>
    <w:pitch w:val="variable"/>
    <w:sig w:usb0="E00002FF" w:usb1="7AC7FFFF" w:usb2="00000012" w:usb3="00000000" w:csb0="0002000D" w:csb1="00000000"/>
  </w:font>
  <w:font w:name="MinionPro-It">
    <w:altName w:val="Calibri"/>
    <w:panose1 w:val="02040503050306090203"/>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HelveticaNeueLTStd-Cn">
    <w:altName w:val="Arial"/>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7728"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800"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1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989418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85C48" w:rsidRPr="00985C48">
                            <w:rPr>
                              <w:rFonts w:ascii="Arial" w:hAnsi="Arial" w:cs="Arial"/>
                              <w:color w:val="000000"/>
                              <w:sz w:val="18"/>
                              <w:szCs w:val="18"/>
                            </w:rPr>
                            <w:t>TX006792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989418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85C48" w:rsidRPr="00985C48">
                      <w:rPr>
                        <w:rFonts w:ascii="Arial" w:hAnsi="Arial" w:cs="Arial"/>
                        <w:color w:val="000000"/>
                        <w:sz w:val="18"/>
                        <w:szCs w:val="18"/>
                      </w:rPr>
                      <w:t>TX006792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1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47308" w14:textId="77777777" w:rsidR="00822036" w:rsidRDefault="00822036" w:rsidP="004D0079">
      <w:r>
        <w:separator/>
      </w:r>
    </w:p>
    <w:p w14:paraId="52FDEE32" w14:textId="77777777" w:rsidR="00822036" w:rsidRDefault="00822036"/>
  </w:footnote>
  <w:footnote w:type="continuationSeparator" w:id="0">
    <w:p w14:paraId="2A0CD43F" w14:textId="77777777" w:rsidR="00822036" w:rsidRDefault="00822036" w:rsidP="004D0079">
      <w:r>
        <w:continuationSeparator/>
      </w:r>
    </w:p>
    <w:p w14:paraId="49372E0F" w14:textId="77777777" w:rsidR="00822036" w:rsidRDefault="008220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0"/>
  </w:num>
  <w:num w:numId="4">
    <w:abstractNumId w:val="11"/>
  </w:num>
  <w:num w:numId="5">
    <w:abstractNumId w:val="12"/>
  </w:num>
  <w:num w:numId="6">
    <w:abstractNumId w:val="0"/>
  </w:num>
  <w:num w:numId="7">
    <w:abstractNumId w:val="4"/>
  </w:num>
  <w:num w:numId="8">
    <w:abstractNumId w:val="9"/>
  </w:num>
  <w:num w:numId="9">
    <w:abstractNumId w:val="8"/>
  </w:num>
  <w:num w:numId="10">
    <w:abstractNumId w:val="13"/>
  </w:num>
  <w:num w:numId="11">
    <w:abstractNumId w:val="7"/>
  </w:num>
  <w:num w:numId="12">
    <w:abstractNumId w:val="6"/>
  </w:num>
  <w:num w:numId="13">
    <w:abstractNumId w:val="2"/>
  </w:num>
  <w:num w:numId="1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01D3"/>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E7A69"/>
    <w:rsid w:val="005F599B"/>
    <w:rsid w:val="0060189F"/>
    <w:rsid w:val="0060248C"/>
    <w:rsid w:val="006067CC"/>
    <w:rsid w:val="00614B48"/>
    <w:rsid w:val="0062150E"/>
    <w:rsid w:val="0062182A"/>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2036"/>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2F4E"/>
    <w:rsid w:val="008F58B2"/>
    <w:rsid w:val="009064EC"/>
    <w:rsid w:val="00906EBC"/>
    <w:rsid w:val="00933AF6"/>
    <w:rsid w:val="00933E81"/>
    <w:rsid w:val="0094359C"/>
    <w:rsid w:val="00945A73"/>
    <w:rsid w:val="00947E7E"/>
    <w:rsid w:val="009563C5"/>
    <w:rsid w:val="00970B62"/>
    <w:rsid w:val="00972002"/>
    <w:rsid w:val="00984CD1"/>
    <w:rsid w:val="00985C48"/>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770"/>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D25F1"/>
    <w:rsid w:val="00D02316"/>
    <w:rsid w:val="00D039CB"/>
    <w:rsid w:val="00D04A29"/>
    <w:rsid w:val="00D105EA"/>
    <w:rsid w:val="00D14D22"/>
    <w:rsid w:val="00D27D52"/>
    <w:rsid w:val="00D33298"/>
    <w:rsid w:val="00D36E17"/>
    <w:rsid w:val="00D37E26"/>
    <w:rsid w:val="00D45298"/>
    <w:rsid w:val="00D57D5E"/>
    <w:rsid w:val="00D64EB1"/>
    <w:rsid w:val="00D73DDC"/>
    <w:rsid w:val="00D80DBD"/>
    <w:rsid w:val="00D82358"/>
    <w:rsid w:val="00D83EE1"/>
    <w:rsid w:val="00D974A5"/>
    <w:rsid w:val="00DB4EA7"/>
    <w:rsid w:val="00DC08C5"/>
    <w:rsid w:val="00DC3282"/>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FreeForm">
    <w:name w:val="Free Form"/>
    <w:rsid w:val="00C51770"/>
    <w:pPr>
      <w:spacing w:after="0" w:line="240" w:lineRule="auto"/>
    </w:pPr>
    <w:rPr>
      <w:rFonts w:ascii="Times New Roman" w:eastAsia="ヒラギノ角ゴ Pro W3" w:hAnsi="Times New Roman" w:cs="Times New Roman"/>
      <w:color w:val="000000"/>
      <w:sz w:val="20"/>
      <w:szCs w:val="20"/>
    </w:rPr>
  </w:style>
  <w:style w:type="character" w:styleId="Hyperlink">
    <w:name w:val="Hyperlink"/>
    <w:basedOn w:val="DefaultParagraphFont"/>
    <w:uiPriority w:val="99"/>
    <w:semiHidden/>
    <w:unhideWhenUsed/>
    <w:rsid w:val="00C51770"/>
    <w:rPr>
      <w:color w:val="0000FF"/>
      <w:w w:val="100"/>
      <w:u w:val="thick" w:color="0000FF"/>
    </w:rPr>
  </w:style>
  <w:style w:type="character" w:customStyle="1" w:styleId="57CondOblique">
    <w:name w:val="57 Cond Oblique"/>
    <w:uiPriority w:val="99"/>
    <w:rsid w:val="00C51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D2310-89A6-F54A-B860-DB87EA8D6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183</cp:revision>
  <cp:lastPrinted>2018-04-06T18:09:00Z</cp:lastPrinted>
  <dcterms:created xsi:type="dcterms:W3CDTF">2011-05-03T23:25:00Z</dcterms:created>
  <dcterms:modified xsi:type="dcterms:W3CDTF">2020-11-11T18:51:00Z</dcterms:modified>
</cp:coreProperties>
</file>